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A6C" w:rsidRDefault="00BD3A6C">
      <w:r>
        <w:rPr>
          <w:noProof/>
        </w:rPr>
        <mc:AlternateContent>
          <mc:Choice Requires="wps">
            <w:drawing>
              <wp:anchor distT="0" distB="0" distL="114300" distR="114300" simplePos="0" relativeHeight="251659264" behindDoc="0" locked="0" layoutInCell="1" allowOverlap="1" wp14:anchorId="580962C2" wp14:editId="7B1E96CC">
                <wp:simplePos x="0" y="0"/>
                <wp:positionH relativeFrom="column">
                  <wp:posOffset>5013960</wp:posOffset>
                </wp:positionH>
                <wp:positionV relativeFrom="paragraph">
                  <wp:posOffset>-403860</wp:posOffset>
                </wp:positionV>
                <wp:extent cx="1095375" cy="390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095375" cy="390525"/>
                        </a:xfrm>
                        <a:prstGeom prst="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6C" w:rsidRPr="00092E10" w:rsidRDefault="00092E10" w:rsidP="00BD3A6C">
                            <w:pPr>
                              <w:jc w:val="center"/>
                              <w:rPr>
                                <w:rFonts w:asciiTheme="majorEastAsia" w:eastAsiaTheme="majorEastAsia" w:hAnsiTheme="majorEastAsia"/>
                                <w:sz w:val="22"/>
                              </w:rPr>
                            </w:pPr>
                            <w:r w:rsidRPr="00092E10">
                              <w:rPr>
                                <w:rFonts w:asciiTheme="majorEastAsia" w:eastAsiaTheme="majorEastAsia" w:hAnsiTheme="majorEastAsia" w:hint="eastAsia"/>
                                <w:sz w:val="22"/>
                              </w:rPr>
                              <w:t>資料４－</w:t>
                            </w:r>
                            <w:r w:rsidR="00535E11">
                              <w:rPr>
                                <w:rFonts w:asciiTheme="majorEastAsia" w:eastAsiaTheme="majorEastAsia" w:hAnsiTheme="majorEastAsia" w:hint="eastAsia"/>
                                <w:sz w:val="2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94.8pt;margin-top:-31.8pt;width:86.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" fillcolor="white [3201]" strokecolor="black [3213]" strokeweight="1.25pt">
                <v:textbox>
                  <w:txbxContent>
                    <w:p w:rsidR="00BD3A6C" w:rsidRPr="00092E10" w:rsidRDefault="00092E10" w:rsidP="00BD3A6C">
                      <w:pPr>
                        <w:jc w:val="center"/>
                        <w:rPr>
                          <w:rFonts w:asciiTheme="majorEastAsia" w:eastAsiaTheme="majorEastAsia" w:hAnsiTheme="majorEastAsia"/>
                          <w:sz w:val="22"/>
                        </w:rPr>
                      </w:pPr>
                      <w:r w:rsidRPr="00092E10">
                        <w:rPr>
                          <w:rFonts w:asciiTheme="majorEastAsia" w:eastAsiaTheme="majorEastAsia" w:hAnsiTheme="majorEastAsia" w:hint="eastAsia"/>
                          <w:sz w:val="22"/>
                        </w:rPr>
                        <w:t>資料４－</w:t>
                      </w:r>
                      <w:r w:rsidR="00535E11">
                        <w:rPr>
                          <w:rFonts w:asciiTheme="majorEastAsia" w:eastAsiaTheme="majorEastAsia" w:hAnsiTheme="majorEastAsia" w:hint="eastAsia"/>
                          <w:sz w:val="22"/>
                        </w:rPr>
                        <w:t>２</w:t>
                      </w:r>
                      <w:bookmarkStart w:id="1" w:name="_GoBack"/>
                      <w:bookmarkEnd w:id="1"/>
                    </w:p>
                  </w:txbxContent>
                </v:textbox>
              </v:rect>
            </w:pict>
          </mc:Fallback>
        </mc:AlternateContent>
      </w:r>
    </w:p>
    <w:p w:rsidR="00BD3A6C" w:rsidRDefault="00BD3A6C" w:rsidP="00BD3A6C">
      <w:pPr>
        <w:jc w:val="center"/>
        <w:rPr>
          <w:sz w:val="22"/>
        </w:rPr>
      </w:pPr>
    </w:p>
    <w:p w:rsidR="00ED60DB" w:rsidRDefault="00BD3A6C" w:rsidP="005A469A">
      <w:pPr>
        <w:ind w:firstLineChars="300" w:firstLine="723"/>
        <w:rPr>
          <w:rFonts w:asciiTheme="majorEastAsia" w:eastAsiaTheme="majorEastAsia" w:hAnsiTheme="majorEastAsia"/>
          <w:b/>
          <w:sz w:val="24"/>
          <w:szCs w:val="24"/>
        </w:rPr>
      </w:pPr>
      <w:r w:rsidRPr="00BD3A6C">
        <w:rPr>
          <w:rFonts w:asciiTheme="majorEastAsia" w:eastAsiaTheme="majorEastAsia" w:hAnsiTheme="majorEastAsia" w:hint="eastAsia"/>
          <w:b/>
          <w:sz w:val="24"/>
          <w:szCs w:val="24"/>
        </w:rPr>
        <w:t>子ども・子育て支援新制度</w:t>
      </w:r>
      <w:r w:rsidR="00ED60DB">
        <w:rPr>
          <w:rFonts w:asciiTheme="majorEastAsia" w:eastAsiaTheme="majorEastAsia" w:hAnsiTheme="majorEastAsia" w:hint="eastAsia"/>
          <w:b/>
          <w:sz w:val="24"/>
          <w:szCs w:val="24"/>
        </w:rPr>
        <w:t>における「教育・保育」、「地域子育て支援事業」</w:t>
      </w:r>
    </w:p>
    <w:p w:rsidR="00660548" w:rsidRPr="00BD3A6C" w:rsidRDefault="00ED60DB" w:rsidP="005A469A">
      <w:pPr>
        <w:ind w:firstLineChars="300" w:firstLine="723"/>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の</w:t>
      </w:r>
      <w:r w:rsidR="00BD3A6C" w:rsidRPr="00BD3A6C">
        <w:rPr>
          <w:rFonts w:asciiTheme="majorEastAsia" w:eastAsiaTheme="majorEastAsia" w:hAnsiTheme="majorEastAsia" w:hint="eastAsia"/>
          <w:b/>
          <w:sz w:val="24"/>
          <w:szCs w:val="24"/>
        </w:rPr>
        <w:t>質の</w:t>
      </w:r>
      <w:r>
        <w:rPr>
          <w:rFonts w:asciiTheme="majorEastAsia" w:eastAsiaTheme="majorEastAsia" w:hAnsiTheme="majorEastAsia" w:hint="eastAsia"/>
          <w:b/>
          <w:sz w:val="24"/>
          <w:szCs w:val="24"/>
        </w:rPr>
        <w:t>確保及び向上について</w:t>
      </w:r>
    </w:p>
    <w:p w:rsidR="00BD3A6C" w:rsidRDefault="00BD3A6C" w:rsidP="00BD3A6C">
      <w:pPr>
        <w:rPr>
          <w:sz w:val="22"/>
        </w:rPr>
      </w:pPr>
    </w:p>
    <w:p w:rsidR="00BD3A6C" w:rsidRPr="00BD3A6C" w:rsidRDefault="00BD3A6C" w:rsidP="00BD3A6C">
      <w:pPr>
        <w:rPr>
          <w:sz w:val="22"/>
        </w:rPr>
      </w:pPr>
    </w:p>
    <w:p w:rsidR="00BD3A6C" w:rsidRPr="008F1406" w:rsidRDefault="00BD3A6C" w:rsidP="00BD3A6C">
      <w:pPr>
        <w:rPr>
          <w:rFonts w:asciiTheme="majorEastAsia" w:eastAsiaTheme="majorEastAsia" w:hAnsiTheme="majorEastAsia"/>
          <w:sz w:val="22"/>
        </w:rPr>
      </w:pPr>
      <w:r w:rsidRPr="008F1406">
        <w:rPr>
          <w:rFonts w:asciiTheme="majorEastAsia" w:eastAsiaTheme="majorEastAsia" w:hAnsiTheme="majorEastAsia" w:hint="eastAsia"/>
          <w:sz w:val="22"/>
        </w:rPr>
        <w:t>○子ども・子育て支援法に基づく基本指針概ねの（案）</w:t>
      </w:r>
    </w:p>
    <w:p w:rsidR="00BD3A6C" w:rsidRDefault="00BD3A6C" w:rsidP="00BD3A6C">
      <w:pPr>
        <w:overflowPunct w:val="0"/>
        <w:ind w:firstLineChars="100" w:firstLine="208"/>
        <w:textAlignment w:val="baseline"/>
        <w:rPr>
          <w:rFonts w:ascii="ＭＳ 明朝" w:eastAsia="ＭＳ 明朝" w:hAnsi="Times New Roman" w:cs="ＭＳ 明朝"/>
          <w:color w:val="000000"/>
          <w:spacing w:val="-6"/>
          <w:kern w:val="0"/>
          <w:sz w:val="22"/>
        </w:rPr>
      </w:pPr>
      <w:r w:rsidRPr="00BD3A6C">
        <w:rPr>
          <w:rFonts w:ascii="ＭＳ 明朝" w:eastAsia="ＭＳ 明朝" w:hAnsi="Times New Roman" w:cs="ＭＳ 明朝" w:hint="eastAsia"/>
          <w:color w:val="000000"/>
          <w:spacing w:val="-6"/>
          <w:kern w:val="0"/>
          <w:sz w:val="22"/>
        </w:rPr>
        <w:t>子ども・子育て支援制度は質の高い教育・保育及び地域子ども・子育て支援事業の提供を通じて全ての子どもが健やかに成長するように支援するものであり、市町村、都道府県及び国は、それぞれの役割に応じて、教育・保育及び地域子ども・子育て支援事業の質の確保及び向上を図ることが必要である。</w:t>
      </w:r>
    </w:p>
    <w:p w:rsidR="00381613" w:rsidRDefault="00BD3A6C" w:rsidP="00BD3A6C">
      <w:pPr>
        <w:overflowPunct w:val="0"/>
        <w:ind w:firstLineChars="100" w:firstLine="208"/>
        <w:textAlignment w:val="baseline"/>
        <w:rPr>
          <w:rFonts w:ascii="ＭＳ 明朝" w:eastAsia="ＭＳ 明朝" w:hAnsi="Times New Roman" w:cs="ＭＳ 明朝"/>
          <w:color w:val="000000"/>
          <w:kern w:val="0"/>
          <w:sz w:val="22"/>
        </w:rPr>
      </w:pPr>
      <w:r w:rsidRPr="00BD3A6C">
        <w:rPr>
          <w:rFonts w:ascii="ＭＳ 明朝" w:eastAsia="ＭＳ 明朝" w:hAnsi="Times New Roman" w:cs="ＭＳ 明朝" w:hint="eastAsia"/>
          <w:color w:val="000000"/>
          <w:spacing w:val="-6"/>
          <w:kern w:val="0"/>
          <w:sz w:val="22"/>
        </w:rPr>
        <w:t>具</w:t>
      </w:r>
      <w:r w:rsidRPr="00BD3A6C">
        <w:rPr>
          <w:rFonts w:ascii="ＭＳ 明朝" w:eastAsia="ＭＳ 明朝" w:hAnsi="Times New Roman" w:cs="ＭＳ 明朝" w:hint="eastAsia"/>
          <w:color w:val="000000"/>
          <w:kern w:val="0"/>
          <w:sz w:val="22"/>
        </w:rPr>
        <w:t>体</w:t>
      </w:r>
      <w:r w:rsidRPr="00BD3A6C">
        <w:rPr>
          <w:rFonts w:ascii="ＭＳ 明朝" w:eastAsia="ＭＳ 明朝" w:hAnsi="Times New Roman" w:cs="ＭＳ 明朝" w:hint="eastAsia"/>
          <w:color w:val="000000"/>
          <w:spacing w:val="-6"/>
          <w:kern w:val="0"/>
          <w:sz w:val="22"/>
        </w:rPr>
        <w:t>的には、認定こども園、幼稚園及び保育所と小学校等との連携のための取組の促進、幼稚園教諭、保育士等に対</w:t>
      </w:r>
      <w:r w:rsidRPr="00BD3A6C">
        <w:rPr>
          <w:rFonts w:ascii="ＭＳ 明朝" w:eastAsia="ＭＳ 明朝" w:hAnsi="Times New Roman" w:cs="ＭＳ 明朝" w:hint="eastAsia"/>
          <w:color w:val="000000"/>
          <w:kern w:val="0"/>
          <w:sz w:val="22"/>
        </w:rPr>
        <w:t>す</w:t>
      </w:r>
      <w:r w:rsidRPr="00BD3A6C">
        <w:rPr>
          <w:rFonts w:ascii="ＭＳ 明朝" w:eastAsia="ＭＳ 明朝" w:hAnsi="Times New Roman" w:cs="ＭＳ 明朝" w:hint="eastAsia"/>
          <w:color w:val="000000"/>
          <w:spacing w:val="-6"/>
          <w:kern w:val="0"/>
          <w:sz w:val="22"/>
        </w:rPr>
        <w:t>る研修の充実等による資質の向上、処遇改善を始</w:t>
      </w:r>
      <w:r w:rsidRPr="00BD3A6C">
        <w:rPr>
          <w:rFonts w:ascii="ＭＳ 明朝" w:eastAsia="ＭＳ 明朝" w:hAnsi="Times New Roman" w:cs="ＭＳ 明朝" w:hint="eastAsia"/>
          <w:color w:val="000000"/>
          <w:kern w:val="0"/>
          <w:sz w:val="22"/>
        </w:rPr>
        <w:t>め</w:t>
      </w:r>
      <w:r w:rsidRPr="00BD3A6C">
        <w:rPr>
          <w:rFonts w:ascii="ＭＳ 明朝" w:eastAsia="ＭＳ 明朝" w:hAnsi="Times New Roman" w:cs="ＭＳ 明朝" w:hint="eastAsia"/>
          <w:color w:val="000000"/>
          <w:spacing w:val="-6"/>
          <w:kern w:val="0"/>
          <w:sz w:val="22"/>
        </w:rPr>
        <w:t>とする労働環境への配慮並びに</w:t>
      </w:r>
      <w:r w:rsidRPr="00BD3A6C">
        <w:rPr>
          <w:rFonts w:ascii="ＭＳ 明朝" w:eastAsia="ＭＳ 明朝" w:hAnsi="Times New Roman" w:cs="ＭＳ 明朝" w:hint="eastAsia"/>
          <w:color w:val="000000"/>
          <w:kern w:val="0"/>
          <w:sz w:val="22"/>
        </w:rPr>
        <w:t>教育・保育施設（</w:t>
      </w:r>
      <w:r>
        <w:rPr>
          <w:rFonts w:ascii="ＭＳ 明朝" w:eastAsia="ＭＳ 明朝" w:hAnsi="Times New Roman" w:cs="ＭＳ 明朝" w:hint="eastAsia"/>
          <w:color w:val="000000"/>
          <w:kern w:val="0"/>
          <w:sz w:val="22"/>
        </w:rPr>
        <w:t>「認定こども園」、「幼稚園」、「保育所」をいう</w:t>
      </w:r>
      <w:r w:rsidR="00381613">
        <w:rPr>
          <w:rFonts w:ascii="ＭＳ 明朝" w:eastAsia="ＭＳ 明朝" w:hAnsi="Times New Roman" w:cs="ＭＳ 明朝" w:hint="eastAsia"/>
          <w:color w:val="000000"/>
          <w:kern w:val="0"/>
          <w:sz w:val="22"/>
        </w:rPr>
        <w:t>。</w:t>
      </w:r>
      <w:r w:rsidRPr="00BD3A6C">
        <w:rPr>
          <w:rFonts w:ascii="ＭＳ 明朝" w:eastAsia="ＭＳ 明朝" w:hAnsi="Times New Roman" w:cs="ＭＳ 明朝" w:hint="eastAsia"/>
          <w:color w:val="000000"/>
          <w:kern w:val="0"/>
          <w:sz w:val="22"/>
        </w:rPr>
        <w:t>）</w:t>
      </w:r>
      <w:r w:rsidRPr="00BD3A6C">
        <w:rPr>
          <w:rFonts w:ascii="ＭＳ 明朝" w:eastAsia="ＭＳ 明朝" w:hAnsi="Times New Roman" w:cs="ＭＳ 明朝" w:hint="eastAsia"/>
          <w:color w:val="000000"/>
          <w:spacing w:val="-6"/>
          <w:kern w:val="0"/>
          <w:sz w:val="22"/>
        </w:rPr>
        <w:t>及び</w:t>
      </w:r>
      <w:r w:rsidRPr="00BD3A6C">
        <w:rPr>
          <w:rFonts w:ascii="ＭＳ 明朝" w:eastAsia="ＭＳ 明朝" w:hAnsi="Times New Roman" w:cs="ＭＳ 明朝" w:hint="eastAsia"/>
          <w:color w:val="000000"/>
          <w:kern w:val="0"/>
          <w:sz w:val="22"/>
        </w:rPr>
        <w:t>地域型保育事業（</w:t>
      </w:r>
      <w:r w:rsidR="00381613">
        <w:rPr>
          <w:rFonts w:ascii="ＭＳ 明朝" w:eastAsia="ＭＳ 明朝" w:hAnsi="Times New Roman" w:cs="ＭＳ 明朝" w:hint="eastAsia"/>
          <w:color w:val="000000"/>
          <w:kern w:val="0"/>
          <w:sz w:val="22"/>
        </w:rPr>
        <w:t>「小規模保育」、「家庭的保育」、「居宅訪問型保育」、「事業所内保育」をいう。</w:t>
      </w:r>
      <w:r w:rsidRPr="00BD3A6C">
        <w:rPr>
          <w:rFonts w:ascii="ＭＳ 明朝" w:eastAsia="ＭＳ 明朝" w:hAnsi="Times New Roman" w:cs="ＭＳ 明朝" w:hint="eastAsia"/>
          <w:color w:val="000000"/>
          <w:kern w:val="0"/>
          <w:sz w:val="22"/>
        </w:rPr>
        <w:t>）</w:t>
      </w:r>
      <w:r w:rsidRPr="00BD3A6C">
        <w:rPr>
          <w:rFonts w:ascii="ＭＳ 明朝" w:eastAsia="ＭＳ 明朝" w:hAnsi="Times New Roman" w:cs="ＭＳ 明朝" w:hint="eastAsia"/>
          <w:color w:val="000000"/>
          <w:spacing w:val="-6"/>
          <w:kern w:val="0"/>
          <w:sz w:val="22"/>
        </w:rPr>
        <w:t>を行う者に対する適切な指導監督、評価等の実施を通じて、質の高い教育・保育及び地域子ども・子育て支援</w:t>
      </w:r>
      <w:r w:rsidRPr="00BD3A6C">
        <w:rPr>
          <w:rFonts w:ascii="ＭＳ 明朝" w:eastAsia="ＭＳ 明朝" w:hAnsi="Times New Roman" w:cs="ＭＳ 明朝" w:hint="eastAsia"/>
          <w:color w:val="000000"/>
          <w:kern w:val="0"/>
          <w:sz w:val="22"/>
        </w:rPr>
        <w:t>事</w:t>
      </w:r>
      <w:r w:rsidRPr="00BD3A6C">
        <w:rPr>
          <w:rFonts w:ascii="ＭＳ 明朝" w:eastAsia="ＭＳ 明朝" w:hAnsi="Times New Roman" w:cs="ＭＳ 明朝" w:hint="eastAsia"/>
          <w:color w:val="000000"/>
          <w:spacing w:val="-6"/>
          <w:kern w:val="0"/>
          <w:sz w:val="22"/>
        </w:rPr>
        <w:t>業の提供を図り、市町村及び都道府県は、これらの事項について、子ども・子育て支</w:t>
      </w:r>
      <w:r w:rsidRPr="00BD3A6C">
        <w:rPr>
          <w:rFonts w:ascii="ＭＳ 明朝" w:eastAsia="ＭＳ 明朝" w:hAnsi="Times New Roman" w:cs="ＭＳ 明朝" w:hint="eastAsia"/>
          <w:color w:val="000000"/>
          <w:kern w:val="0"/>
          <w:sz w:val="22"/>
        </w:rPr>
        <w:t>援</w:t>
      </w:r>
      <w:r w:rsidRPr="00BD3A6C">
        <w:rPr>
          <w:rFonts w:ascii="ＭＳ 明朝" w:eastAsia="ＭＳ 明朝" w:hAnsi="Times New Roman" w:cs="ＭＳ 明朝" w:hint="eastAsia"/>
          <w:color w:val="000000"/>
          <w:spacing w:val="-6"/>
          <w:kern w:val="0"/>
          <w:sz w:val="22"/>
        </w:rPr>
        <w:t>事業計画に記載する</w:t>
      </w:r>
      <w:r w:rsidRPr="00BD3A6C">
        <w:rPr>
          <w:rFonts w:ascii="ＭＳ 明朝" w:eastAsia="ＭＳ 明朝" w:hAnsi="Times New Roman" w:cs="ＭＳ 明朝" w:hint="eastAsia"/>
          <w:color w:val="000000"/>
          <w:kern w:val="0"/>
          <w:sz w:val="22"/>
        </w:rPr>
        <w:t>。</w:t>
      </w:r>
    </w:p>
    <w:p w:rsidR="00BD3A6C" w:rsidRDefault="00BD3A6C" w:rsidP="00381613">
      <w:pPr>
        <w:overflowPunct w:val="0"/>
        <w:ind w:firstLineChars="100" w:firstLine="220"/>
        <w:textAlignment w:val="baseline"/>
        <w:rPr>
          <w:rFonts w:ascii="ＭＳ 明朝" w:eastAsia="ＭＳ 明朝" w:hAnsi="Times New Roman" w:cs="ＭＳ 明朝"/>
          <w:color w:val="000000"/>
          <w:kern w:val="0"/>
          <w:sz w:val="22"/>
        </w:rPr>
      </w:pPr>
      <w:r w:rsidRPr="00BD3A6C">
        <w:rPr>
          <w:rFonts w:ascii="ＭＳ 明朝" w:eastAsia="ＭＳ 明朝" w:hAnsi="Times New Roman" w:cs="ＭＳ 明朝" w:hint="eastAsia"/>
          <w:color w:val="000000"/>
          <w:kern w:val="0"/>
          <w:sz w:val="22"/>
        </w:rPr>
        <w:t>この他</w:t>
      </w:r>
      <w:r w:rsidRPr="00BD3A6C">
        <w:rPr>
          <w:rFonts w:ascii="ＭＳ 明朝" w:eastAsia="ＭＳ 明朝" w:hAnsi="Times New Roman" w:cs="ＭＳ 明朝" w:hint="eastAsia"/>
          <w:color w:val="000000"/>
          <w:spacing w:val="-6"/>
          <w:kern w:val="0"/>
          <w:sz w:val="22"/>
        </w:rPr>
        <w:t>、市町村は、</w:t>
      </w:r>
      <w:proofErr w:type="gramStart"/>
      <w:r w:rsidRPr="00BD3A6C">
        <w:rPr>
          <w:rFonts w:ascii="ＭＳ 明朝" w:eastAsia="ＭＳ 明朝" w:hAnsi="Times New Roman" w:cs="ＭＳ 明朝" w:hint="eastAsia"/>
          <w:color w:val="000000"/>
          <w:kern w:val="0"/>
          <w:sz w:val="22"/>
        </w:rPr>
        <w:t>障</w:t>
      </w:r>
      <w:r w:rsidR="00381613">
        <w:rPr>
          <w:rFonts w:ascii="ＭＳ 明朝" w:eastAsia="ＭＳ 明朝" w:hAnsi="Times New Roman" w:cs="ＭＳ 明朝" w:hint="eastAsia"/>
          <w:color w:val="000000"/>
          <w:kern w:val="0"/>
          <w:sz w:val="22"/>
        </w:rPr>
        <w:t>がい</w:t>
      </w:r>
      <w:proofErr w:type="gramEnd"/>
      <w:r w:rsidRPr="00BD3A6C">
        <w:rPr>
          <w:rFonts w:ascii="ＭＳ 明朝" w:eastAsia="ＭＳ 明朝" w:hAnsi="Times New Roman" w:cs="ＭＳ 明朝" w:hint="eastAsia"/>
          <w:color w:val="000000"/>
          <w:kern w:val="0"/>
          <w:sz w:val="22"/>
        </w:rPr>
        <w:t>児、社会的養護が必要な子ども、貧困状態にある子ども、夜間の保育が必要な子ども等特別な支援が必要な子どもが円滑に教育・保育等を利用できるようにするために必要な配慮を行うとともに、市町村、都道府県及び国は、必要な支援を行うことが求められる。</w:t>
      </w:r>
    </w:p>
    <w:p w:rsidR="00BD3A6C" w:rsidRPr="00BD3A6C" w:rsidRDefault="00BD3A6C" w:rsidP="00381613">
      <w:pPr>
        <w:overflowPunct w:val="0"/>
        <w:ind w:firstLineChars="100" w:firstLine="220"/>
        <w:textAlignment w:val="baseline"/>
        <w:rPr>
          <w:rFonts w:ascii="ＭＳ 明朝" w:eastAsia="ＭＳ 明朝" w:hAnsi="Times New Roman" w:cs="Times New Roman"/>
          <w:color w:val="000000"/>
          <w:spacing w:val="14"/>
          <w:kern w:val="0"/>
          <w:sz w:val="22"/>
        </w:rPr>
      </w:pPr>
      <w:r w:rsidRPr="00BD3A6C">
        <w:rPr>
          <w:rFonts w:ascii="Times New Roman" w:eastAsia="ＭＳ 明朝" w:hAnsi="Times New Roman" w:cs="ＭＳ 明朝" w:hint="eastAsia"/>
          <w:color w:val="000000"/>
          <w:kern w:val="0"/>
          <w:sz w:val="22"/>
        </w:rPr>
        <w:t>教育・保育施設は、教育・保育の質の確保及び向上を図るため、自己評価、関係者評価、第三者評価等を通じて運営改善を図ることが求められる。市町村、都道府県及び国はこのために必要な支援を行う。</w:t>
      </w:r>
    </w:p>
    <w:p w:rsidR="00381613" w:rsidRDefault="00381613" w:rsidP="00BD3A6C">
      <w:pPr>
        <w:rPr>
          <w:sz w:val="22"/>
        </w:rPr>
      </w:pPr>
      <w:r>
        <w:rPr>
          <w:noProof/>
          <w:sz w:val="22"/>
        </w:rPr>
        <mc:AlternateContent>
          <mc:Choice Requires="wps">
            <w:drawing>
              <wp:anchor distT="0" distB="0" distL="114300" distR="114300" simplePos="0" relativeHeight="251660288" behindDoc="0" locked="0" layoutInCell="1" allowOverlap="1" wp14:anchorId="320C27C9" wp14:editId="175F0BBC">
                <wp:simplePos x="0" y="0"/>
                <wp:positionH relativeFrom="column">
                  <wp:posOffset>2861310</wp:posOffset>
                </wp:positionH>
                <wp:positionV relativeFrom="paragraph">
                  <wp:posOffset>148590</wp:posOffset>
                </wp:positionV>
                <wp:extent cx="342900" cy="371475"/>
                <wp:effectExtent l="19050" t="0" r="19050" b="47625"/>
                <wp:wrapNone/>
                <wp:docPr id="2" name="下矢印 2"/>
                <wp:cNvGraphicFramePr/>
                <a:graphic xmlns:a="http://schemas.openxmlformats.org/drawingml/2006/main">
                  <a:graphicData uri="http://schemas.microsoft.com/office/word/2010/wordprocessingShape">
                    <wps:wsp>
                      <wps:cNvSpPr/>
                      <wps:spPr>
                        <a:xfrm>
                          <a:off x="0" y="0"/>
                          <a:ext cx="342900" cy="3714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225.3pt;margin-top:11.7pt;width:27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" adj="11631" fillcolor="black [3200]" strokecolor="black [1600]" strokeweight="2pt"/>
            </w:pict>
          </mc:Fallback>
        </mc:AlternateContent>
      </w:r>
    </w:p>
    <w:p w:rsidR="00381613" w:rsidRDefault="00381613" w:rsidP="00BD3A6C">
      <w:pPr>
        <w:rPr>
          <w:sz w:val="22"/>
        </w:rPr>
      </w:pPr>
    </w:p>
    <w:p w:rsidR="00381613" w:rsidRDefault="00381613" w:rsidP="00BD3A6C">
      <w:pPr>
        <w:rPr>
          <w:sz w:val="22"/>
        </w:rPr>
      </w:pPr>
    </w:p>
    <w:p w:rsidR="00381613" w:rsidRDefault="00381613" w:rsidP="00BD3A6C">
      <w:pPr>
        <w:rPr>
          <w:sz w:val="22"/>
        </w:rPr>
      </w:pPr>
    </w:p>
    <w:tbl>
      <w:tblPr>
        <w:tblStyle w:val="a3"/>
        <w:tblW w:w="0" w:type="auto"/>
        <w:tblInd w:w="392" w:type="dxa"/>
        <w:tblLook w:val="04A0" w:firstRow="1" w:lastRow="0" w:firstColumn="1" w:lastColumn="0" w:noHBand="0" w:noVBand="1"/>
      </w:tblPr>
      <w:tblGrid>
        <w:gridCol w:w="9214"/>
      </w:tblGrid>
      <w:tr w:rsidR="00381613" w:rsidTr="00381613">
        <w:tc>
          <w:tcPr>
            <w:tcW w:w="9214" w:type="dxa"/>
          </w:tcPr>
          <w:p w:rsidR="00381613" w:rsidRDefault="00381613" w:rsidP="00BD3A6C">
            <w:pPr>
              <w:rPr>
                <w:sz w:val="22"/>
              </w:rPr>
            </w:pPr>
            <w:r>
              <w:rPr>
                <w:rFonts w:hint="eastAsia"/>
                <w:sz w:val="22"/>
              </w:rPr>
              <w:t>〈質の</w:t>
            </w:r>
            <w:r w:rsidR="00ED60DB">
              <w:rPr>
                <w:rFonts w:hint="eastAsia"/>
                <w:sz w:val="22"/>
              </w:rPr>
              <w:t>確保及び</w:t>
            </w:r>
            <w:r>
              <w:rPr>
                <w:rFonts w:hint="eastAsia"/>
                <w:sz w:val="22"/>
              </w:rPr>
              <w:t>向上のために実施が求められ</w:t>
            </w:r>
            <w:r w:rsidR="008F1406">
              <w:rPr>
                <w:rFonts w:hint="eastAsia"/>
                <w:sz w:val="22"/>
              </w:rPr>
              <w:t>てい</w:t>
            </w:r>
            <w:r>
              <w:rPr>
                <w:rFonts w:hint="eastAsia"/>
                <w:sz w:val="22"/>
              </w:rPr>
              <w:t>るもの〉</w:t>
            </w:r>
          </w:p>
          <w:p w:rsidR="00381613" w:rsidRDefault="00381613" w:rsidP="00381613">
            <w:pPr>
              <w:ind w:firstLineChars="144" w:firstLine="317"/>
              <w:rPr>
                <w:sz w:val="22"/>
              </w:rPr>
            </w:pPr>
            <w:r>
              <w:rPr>
                <w:rFonts w:hint="eastAsia"/>
                <w:sz w:val="22"/>
              </w:rPr>
              <w:t>○研修の充実</w:t>
            </w:r>
          </w:p>
          <w:p w:rsidR="00381613" w:rsidRDefault="00381613" w:rsidP="00381613">
            <w:pPr>
              <w:ind w:firstLineChars="144" w:firstLine="317"/>
              <w:rPr>
                <w:sz w:val="22"/>
              </w:rPr>
            </w:pPr>
            <w:r>
              <w:rPr>
                <w:rFonts w:hint="eastAsia"/>
                <w:sz w:val="22"/>
              </w:rPr>
              <w:t>○幼稚園教諭・保育士の労働環境への配慮（処遇改善を含む）</w:t>
            </w:r>
          </w:p>
          <w:p w:rsidR="00381613" w:rsidRDefault="00381613" w:rsidP="00381613">
            <w:pPr>
              <w:ind w:firstLineChars="144" w:firstLine="317"/>
              <w:rPr>
                <w:sz w:val="22"/>
              </w:rPr>
            </w:pPr>
            <w:r>
              <w:rPr>
                <w:rFonts w:hint="eastAsia"/>
                <w:sz w:val="22"/>
              </w:rPr>
              <w:t>○指導監督・評価の実施</w:t>
            </w:r>
          </w:p>
          <w:p w:rsidR="00381613" w:rsidRDefault="00381613" w:rsidP="00381613">
            <w:pPr>
              <w:ind w:leftChars="151" w:left="458" w:hangingChars="64" w:hanging="141"/>
              <w:rPr>
                <w:sz w:val="22"/>
              </w:rPr>
            </w:pPr>
            <w:r>
              <w:rPr>
                <w:rFonts w:hint="eastAsia"/>
                <w:sz w:val="22"/>
              </w:rPr>
              <w:t>○</w:t>
            </w:r>
            <w:proofErr w:type="gramStart"/>
            <w:r>
              <w:rPr>
                <w:rFonts w:hint="eastAsia"/>
                <w:sz w:val="22"/>
              </w:rPr>
              <w:t>障がい</w:t>
            </w:r>
            <w:proofErr w:type="gramEnd"/>
            <w:r>
              <w:rPr>
                <w:rFonts w:hint="eastAsia"/>
                <w:sz w:val="22"/>
              </w:rPr>
              <w:t>児、社会的養護が必要な子ども、貧困状態にある子ども、夜間の保育が必要な子ども等への配慮</w:t>
            </w:r>
          </w:p>
          <w:p w:rsidR="00381613" w:rsidRDefault="00381613" w:rsidP="00381613">
            <w:pPr>
              <w:ind w:leftChars="151" w:left="458" w:hangingChars="64" w:hanging="141"/>
              <w:rPr>
                <w:sz w:val="22"/>
              </w:rPr>
            </w:pPr>
            <w:r>
              <w:rPr>
                <w:rFonts w:hint="eastAsia"/>
                <w:sz w:val="22"/>
              </w:rPr>
              <w:t>○自己評価、関係者評価、第三者評価等を通じた運営改善</w:t>
            </w:r>
          </w:p>
          <w:p w:rsidR="00381613" w:rsidRDefault="00381613" w:rsidP="00BD3A6C">
            <w:pPr>
              <w:rPr>
                <w:sz w:val="22"/>
              </w:rPr>
            </w:pPr>
          </w:p>
        </w:tc>
      </w:tr>
    </w:tbl>
    <w:p w:rsidR="00BD3A6C" w:rsidRPr="00BD3A6C" w:rsidRDefault="00BD3A6C" w:rsidP="00BD3A6C">
      <w:pPr>
        <w:rPr>
          <w:sz w:val="22"/>
        </w:rPr>
      </w:pPr>
    </w:p>
    <w:sectPr w:rsidR="00BD3A6C" w:rsidRPr="00BD3A6C" w:rsidSect="00381613">
      <w:pgSz w:w="11906" w:h="16838" w:code="9"/>
      <w:pgMar w:top="1701" w:right="1134" w:bottom="1134"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6C"/>
    <w:rsid w:val="00092E10"/>
    <w:rsid w:val="00381613"/>
    <w:rsid w:val="00535E11"/>
    <w:rsid w:val="005A469A"/>
    <w:rsid w:val="00660548"/>
    <w:rsid w:val="008F1406"/>
    <w:rsid w:val="00BD3A6C"/>
    <w:rsid w:val="00ED6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16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16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3DB16-BF21-4650-AAB3-B22859EC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朝倉　雅行</dc:creator>
  <cp:lastModifiedBy>朝倉　雅行</cp:lastModifiedBy>
  <cp:revision>6</cp:revision>
  <cp:lastPrinted>2014-02-26T02:44:00Z</cp:lastPrinted>
  <dcterms:created xsi:type="dcterms:W3CDTF">2014-02-24T01:07:00Z</dcterms:created>
  <dcterms:modified xsi:type="dcterms:W3CDTF">2014-02-26T02:51:00Z</dcterms:modified>
</cp:coreProperties>
</file>